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36CA" w14:textId="77777777" w:rsidR="00AA1212" w:rsidRDefault="00921DB1">
      <w:pPr>
        <w:rPr>
          <w:rFonts w:ascii="Arial" w:hAnsi="Arial" w:cs="Arial"/>
          <w:b/>
          <w:color w:val="444444"/>
          <w:sz w:val="32"/>
          <w:szCs w:val="32"/>
        </w:rPr>
      </w:pPr>
      <w:r>
        <w:rPr>
          <w:rFonts w:ascii="Arial" w:hAnsi="Arial" w:cs="Arial"/>
          <w:b/>
          <w:color w:val="444444"/>
          <w:sz w:val="32"/>
          <w:szCs w:val="32"/>
        </w:rPr>
        <w:t xml:space="preserve">Rencontre </w:t>
      </w:r>
      <w:proofErr w:type="spellStart"/>
      <w:r>
        <w:rPr>
          <w:rFonts w:ascii="Arial" w:hAnsi="Arial" w:cs="Arial"/>
          <w:b/>
          <w:color w:val="444444"/>
          <w:sz w:val="32"/>
          <w:szCs w:val="32"/>
        </w:rPr>
        <w:t>Pass'Athlé</w:t>
      </w:r>
      <w:proofErr w:type="spellEnd"/>
      <w:r>
        <w:rPr>
          <w:rFonts w:ascii="Arial" w:hAnsi="Arial" w:cs="Arial"/>
          <w:b/>
          <w:color w:val="444444"/>
          <w:sz w:val="32"/>
          <w:szCs w:val="32"/>
        </w:rPr>
        <w:t xml:space="preserve"> NMA du 11 mars 2020</w:t>
      </w:r>
    </w:p>
    <w:p w14:paraId="3CBFBDEF" w14:textId="77777777" w:rsidR="00AA1212" w:rsidRDefault="00AA1212">
      <w:pPr>
        <w:rPr>
          <w:rFonts w:ascii="Arial" w:hAnsi="Arial" w:cs="Arial"/>
          <w:color w:val="444444"/>
          <w:sz w:val="17"/>
          <w:szCs w:val="17"/>
        </w:rPr>
      </w:pPr>
    </w:p>
    <w:p w14:paraId="22E65431" w14:textId="77777777" w:rsidR="00AA1212" w:rsidRDefault="00921DB1">
      <w:pPr>
        <w:spacing w:after="0" w:line="360" w:lineRule="atLeast"/>
      </w:pPr>
      <w:r>
        <w:rPr>
          <w:rFonts w:ascii="Arial" w:eastAsia="Times New Roman" w:hAnsi="Arial" w:cs="Arial"/>
          <w:b/>
          <w:bCs/>
          <w:color w:val="444444"/>
          <w:sz w:val="18"/>
          <w:szCs w:val="18"/>
          <w:lang w:eastAsia="fr-FR"/>
        </w:rPr>
        <w:t xml:space="preserve">La rencontre </w:t>
      </w:r>
      <w:proofErr w:type="spellStart"/>
      <w:r>
        <w:rPr>
          <w:rFonts w:ascii="Arial" w:eastAsia="Times New Roman" w:hAnsi="Arial" w:cs="Arial"/>
          <w:b/>
          <w:bCs/>
          <w:color w:val="444444"/>
          <w:sz w:val="18"/>
          <w:szCs w:val="18"/>
          <w:lang w:eastAsia="fr-FR"/>
        </w:rPr>
        <w:t>Pass'Athlé</w:t>
      </w:r>
      <w:proofErr w:type="spellEnd"/>
      <w:r>
        <w:rPr>
          <w:rFonts w:ascii="Arial" w:eastAsia="Times New Roman" w:hAnsi="Arial" w:cs="Arial"/>
          <w:b/>
          <w:bCs/>
          <w:color w:val="444444"/>
          <w:sz w:val="18"/>
          <w:szCs w:val="18"/>
          <w:lang w:eastAsia="fr-FR"/>
        </w:rPr>
        <w:t xml:space="preserve"> NMA se déroulera le mercredi 11 mars 2020 à la salle Pierre Quinon, de 14h à 17h. RDV au plus tard à 13h30 pour confirmation.</w:t>
      </w:r>
    </w:p>
    <w:p w14:paraId="79389185" w14:textId="77777777" w:rsidR="00AA1212" w:rsidRDefault="00AA1212">
      <w:pPr>
        <w:spacing w:after="0" w:line="360" w:lineRule="atLeast"/>
        <w:rPr>
          <w:rFonts w:ascii="Arial" w:eastAsia="Times New Roman" w:hAnsi="Arial" w:cs="Arial"/>
          <w:color w:val="444444"/>
          <w:sz w:val="18"/>
          <w:szCs w:val="18"/>
          <w:lang w:eastAsia="fr-FR"/>
        </w:rPr>
      </w:pPr>
    </w:p>
    <w:p w14:paraId="0A33A497"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 xml:space="preserve">L'inscription des athlètes se fera </w:t>
      </w:r>
      <w:r>
        <w:rPr>
          <w:rFonts w:ascii="Arial" w:eastAsia="Times New Roman" w:hAnsi="Arial" w:cs="Arial"/>
          <w:color w:val="444444"/>
          <w:sz w:val="18"/>
          <w:szCs w:val="18"/>
          <w:lang w:eastAsia="fr-FR"/>
        </w:rPr>
        <w:t>jusqu'au mercredi 4 mars. Il est nécessaire que chaque club amène 1 adulte pour 5 enfants afin d'assurer un encadrement suffisant. Les fiches épreuves seront fournis aux parents avant la rencontre pour qu'ils se familiarisent avec les critères d'évaluation</w:t>
      </w:r>
      <w:r>
        <w:rPr>
          <w:rFonts w:ascii="Arial" w:eastAsia="Times New Roman" w:hAnsi="Arial" w:cs="Arial"/>
          <w:color w:val="444444"/>
          <w:sz w:val="18"/>
          <w:szCs w:val="18"/>
          <w:lang w:eastAsia="fr-FR"/>
        </w:rPr>
        <w:t>.</w:t>
      </w:r>
    </w:p>
    <w:p w14:paraId="7A3DDF56" w14:textId="77777777" w:rsidR="00AA1212" w:rsidRDefault="00AA1212">
      <w:pPr>
        <w:spacing w:after="0" w:line="360" w:lineRule="atLeast"/>
        <w:rPr>
          <w:rFonts w:ascii="Arial" w:eastAsia="Times New Roman" w:hAnsi="Arial" w:cs="Arial"/>
          <w:color w:val="444444"/>
          <w:sz w:val="18"/>
          <w:szCs w:val="18"/>
          <w:lang w:eastAsia="fr-FR"/>
        </w:rPr>
      </w:pPr>
    </w:p>
    <w:p w14:paraId="32ADE612"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Le rangement sera assuré par les personnes présentes en dernier sur l'atelier</w:t>
      </w:r>
    </w:p>
    <w:p w14:paraId="546015E2"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La confirmation pour les athlètes se fait jusqu'à 13h30.</w:t>
      </w:r>
    </w:p>
    <w:p w14:paraId="053454AC" w14:textId="77777777" w:rsidR="00AA1212" w:rsidRDefault="00AA1212">
      <w:pPr>
        <w:spacing w:after="0" w:line="360" w:lineRule="atLeast"/>
        <w:rPr>
          <w:rFonts w:ascii="Arial" w:eastAsia="Times New Roman" w:hAnsi="Arial" w:cs="Arial"/>
          <w:color w:val="444444"/>
          <w:sz w:val="18"/>
          <w:szCs w:val="18"/>
          <w:lang w:eastAsia="fr-FR"/>
        </w:rPr>
      </w:pPr>
    </w:p>
    <w:p w14:paraId="43A10E98"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 xml:space="preserve">Il y aura les 6 ateliers de chaque niveau de </w:t>
      </w:r>
      <w:proofErr w:type="spellStart"/>
      <w:r>
        <w:rPr>
          <w:rFonts w:ascii="Arial" w:eastAsia="Times New Roman" w:hAnsi="Arial" w:cs="Arial"/>
          <w:color w:val="444444"/>
          <w:sz w:val="18"/>
          <w:szCs w:val="18"/>
          <w:lang w:eastAsia="fr-FR"/>
        </w:rPr>
        <w:t>Pass</w:t>
      </w:r>
      <w:proofErr w:type="spellEnd"/>
      <w:r>
        <w:rPr>
          <w:rFonts w:ascii="Arial" w:eastAsia="Times New Roman" w:hAnsi="Arial" w:cs="Arial"/>
          <w:color w:val="444444"/>
          <w:sz w:val="18"/>
          <w:szCs w:val="18"/>
          <w:lang w:eastAsia="fr-FR"/>
        </w:rPr>
        <w:t xml:space="preserve"> Athlé du témoin rouge au témoin d'or.</w:t>
      </w:r>
    </w:p>
    <w:p w14:paraId="14B9BB55" w14:textId="77777777" w:rsidR="00AA1212" w:rsidRDefault="00921DB1">
      <w:pPr>
        <w:spacing w:after="0" w:line="360" w:lineRule="atLeast"/>
      </w:pPr>
      <w:r>
        <w:rPr>
          <w:rFonts w:ascii="Arial" w:hAnsi="Arial" w:cs="Arial"/>
          <w:color w:val="444444"/>
          <w:sz w:val="18"/>
          <w:szCs w:val="18"/>
        </w:rPr>
        <w:t>Les 6 épreuves correspondront</w:t>
      </w:r>
      <w:r>
        <w:rPr>
          <w:rFonts w:ascii="Arial" w:hAnsi="Arial" w:cs="Arial"/>
          <w:color w:val="444444"/>
          <w:sz w:val="18"/>
          <w:szCs w:val="18"/>
        </w:rPr>
        <w:t xml:space="preserve"> au : bondir et rebondir, se déplacer, coordonner et rebondir, rebondir et équilibrer courir vite et transmettre une force des Témoins vert et rouge pour les éveils, témoins bronze et argent pour les poussins.</w:t>
      </w:r>
    </w:p>
    <w:p w14:paraId="345464C0"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Il faudra donc prévoir :</w:t>
      </w:r>
    </w:p>
    <w:p w14:paraId="24A9EE6C"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6 ateliers pour les 2</w:t>
      </w:r>
      <w:r>
        <w:rPr>
          <w:rFonts w:ascii="Arial" w:eastAsia="Times New Roman" w:hAnsi="Arial" w:cs="Arial"/>
          <w:color w:val="444444"/>
          <w:sz w:val="18"/>
          <w:szCs w:val="18"/>
          <w:lang w:eastAsia="fr-FR"/>
        </w:rPr>
        <w:t>009</w:t>
      </w:r>
    </w:p>
    <w:p w14:paraId="262C6274"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6 ateliers pour les 2010</w:t>
      </w:r>
    </w:p>
    <w:p w14:paraId="0FC9BEFB"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6 ateliers pour les 2011</w:t>
      </w:r>
    </w:p>
    <w:p w14:paraId="49B0578F"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6 ateliers pour les 2012</w:t>
      </w:r>
    </w:p>
    <w:p w14:paraId="0D1BE185" w14:textId="77777777" w:rsidR="00AA1212" w:rsidRDefault="00AA1212">
      <w:pPr>
        <w:spacing w:after="0" w:line="360" w:lineRule="atLeast"/>
        <w:rPr>
          <w:rFonts w:ascii="Arial" w:eastAsia="Times New Roman" w:hAnsi="Arial" w:cs="Arial"/>
          <w:color w:val="444444"/>
          <w:sz w:val="18"/>
          <w:szCs w:val="18"/>
          <w:lang w:eastAsia="fr-FR"/>
        </w:rPr>
      </w:pPr>
    </w:p>
    <w:p w14:paraId="01A75342" w14:textId="77777777" w:rsidR="00AA1212" w:rsidRDefault="00921DB1">
      <w:pPr>
        <w:spacing w:after="0" w:line="360" w:lineRule="atLeast"/>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 xml:space="preserve">Nous ferons des rotations toutes les 12 minutes. Ainsi les jeunes pourront s'essayer à chaque épreuve le nombre de fois qu'il sera possible sur le temps imparti. Bien sûr si </w:t>
      </w:r>
      <w:r>
        <w:rPr>
          <w:rFonts w:ascii="Arial" w:eastAsia="Times New Roman" w:hAnsi="Arial" w:cs="Arial"/>
          <w:color w:val="444444"/>
          <w:sz w:val="18"/>
          <w:szCs w:val="18"/>
          <w:lang w:eastAsia="fr-FR"/>
        </w:rPr>
        <w:t>elle est validée au premier essai, ils pourront tout de même continuer de faire l'atelier.</w:t>
      </w:r>
    </w:p>
    <w:p w14:paraId="0B31B756" w14:textId="77777777" w:rsidR="00AA1212" w:rsidRDefault="00AA1212">
      <w:pPr>
        <w:spacing w:after="0" w:line="360" w:lineRule="atLeast"/>
        <w:rPr>
          <w:rFonts w:ascii="Arial" w:eastAsia="Times New Roman" w:hAnsi="Arial" w:cs="Arial"/>
          <w:color w:val="444444"/>
          <w:sz w:val="18"/>
          <w:szCs w:val="18"/>
          <w:lang w:eastAsia="fr-FR"/>
        </w:rPr>
      </w:pPr>
    </w:p>
    <w:p w14:paraId="0D53261A" w14:textId="77777777" w:rsidR="00AA1212" w:rsidRDefault="00921DB1">
      <w:pPr>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A la fin, nous proposons de faire le jeu de l'horloge en gardant les équipes éveils et poussins séparées. Un gouter sera distribué ensuite pour terminer la rencontr</w:t>
      </w:r>
      <w:r>
        <w:rPr>
          <w:rFonts w:ascii="Arial" w:eastAsia="Times New Roman" w:hAnsi="Arial" w:cs="Arial"/>
          <w:color w:val="444444"/>
          <w:sz w:val="18"/>
          <w:szCs w:val="18"/>
          <w:lang w:eastAsia="fr-FR"/>
        </w:rPr>
        <w:t>e.</w:t>
      </w:r>
    </w:p>
    <w:p w14:paraId="49E979D7" w14:textId="77777777" w:rsidR="00AA1212" w:rsidRDefault="00AA1212">
      <w:pPr>
        <w:rPr>
          <w:rFonts w:ascii="Arial" w:eastAsia="Times New Roman" w:hAnsi="Arial" w:cs="Arial"/>
          <w:b/>
          <w:color w:val="444444"/>
          <w:sz w:val="28"/>
          <w:szCs w:val="28"/>
          <w:lang w:eastAsia="fr-FR"/>
        </w:rPr>
      </w:pPr>
    </w:p>
    <w:p w14:paraId="1CF40CC1" w14:textId="77777777" w:rsidR="00AA1212" w:rsidRDefault="00921DB1">
      <w:pPr>
        <w:rPr>
          <w:rFonts w:ascii="Arial" w:eastAsia="Times New Roman" w:hAnsi="Arial" w:cs="Arial"/>
          <w:b/>
          <w:color w:val="444444"/>
          <w:sz w:val="28"/>
          <w:szCs w:val="28"/>
          <w:lang w:eastAsia="fr-FR"/>
        </w:rPr>
      </w:pPr>
      <w:r>
        <w:rPr>
          <w:rFonts w:ascii="Arial" w:eastAsia="Times New Roman" w:hAnsi="Arial" w:cs="Arial"/>
          <w:b/>
          <w:color w:val="444444"/>
          <w:sz w:val="28"/>
          <w:szCs w:val="28"/>
          <w:lang w:eastAsia="fr-FR"/>
        </w:rPr>
        <w:t xml:space="preserve">Le </w:t>
      </w:r>
      <w:proofErr w:type="spellStart"/>
      <w:r>
        <w:rPr>
          <w:rFonts w:ascii="Arial" w:eastAsia="Times New Roman" w:hAnsi="Arial" w:cs="Arial"/>
          <w:b/>
          <w:color w:val="444444"/>
          <w:sz w:val="28"/>
          <w:szCs w:val="28"/>
          <w:lang w:eastAsia="fr-FR"/>
        </w:rPr>
        <w:t>pass</w:t>
      </w:r>
      <w:proofErr w:type="spellEnd"/>
      <w:r>
        <w:rPr>
          <w:rFonts w:ascii="Arial" w:eastAsia="Times New Roman" w:hAnsi="Arial" w:cs="Arial"/>
          <w:b/>
          <w:color w:val="444444"/>
          <w:sz w:val="28"/>
          <w:szCs w:val="28"/>
          <w:lang w:eastAsia="fr-FR"/>
        </w:rPr>
        <w:t xml:space="preserve"> athlé : qu’</w:t>
      </w:r>
      <w:proofErr w:type="spellStart"/>
      <w:r>
        <w:rPr>
          <w:rFonts w:ascii="Arial" w:eastAsia="Times New Roman" w:hAnsi="Arial" w:cs="Arial"/>
          <w:b/>
          <w:color w:val="444444"/>
          <w:sz w:val="28"/>
          <w:szCs w:val="28"/>
          <w:lang w:eastAsia="fr-FR"/>
        </w:rPr>
        <w:t>est ce</w:t>
      </w:r>
      <w:proofErr w:type="spellEnd"/>
      <w:r>
        <w:rPr>
          <w:rFonts w:ascii="Arial" w:eastAsia="Times New Roman" w:hAnsi="Arial" w:cs="Arial"/>
          <w:b/>
          <w:color w:val="444444"/>
          <w:sz w:val="28"/>
          <w:szCs w:val="28"/>
          <w:lang w:eastAsia="fr-FR"/>
        </w:rPr>
        <w:t xml:space="preserve"> que c’est</w:t>
      </w:r>
    </w:p>
    <w:p w14:paraId="599A0999" w14:textId="77777777" w:rsidR="00AA1212" w:rsidRDefault="00921DB1">
      <w:r>
        <w:rPr>
          <w:b/>
        </w:rPr>
        <w:t xml:space="preserve">Le </w:t>
      </w:r>
      <w:proofErr w:type="spellStart"/>
      <w:r>
        <w:rPr>
          <w:b/>
        </w:rPr>
        <w:t>Pass’Athlé</w:t>
      </w:r>
      <w:proofErr w:type="spellEnd"/>
      <w:r>
        <w:t xml:space="preserve"> a été créé dans ce but : évaluer et valider les progrès des enfants dans le domaine de l’habileté motrice. Il s’organise sur 5 niveaux :  </w:t>
      </w:r>
    </w:p>
    <w:p w14:paraId="056F2959" w14:textId="77777777" w:rsidR="00AA1212" w:rsidRDefault="00921DB1">
      <w:pPr>
        <w:pStyle w:val="Paragraphedeliste"/>
        <w:numPr>
          <w:ilvl w:val="0"/>
          <w:numId w:val="1"/>
        </w:numPr>
      </w:pPr>
      <w:r>
        <w:t xml:space="preserve">Le </w:t>
      </w:r>
      <w:proofErr w:type="spellStart"/>
      <w:r>
        <w:t>Pass’Aventure</w:t>
      </w:r>
      <w:proofErr w:type="spellEnd"/>
      <w:r>
        <w:t xml:space="preserve"> destiné aux enfants de 4 à 6 ans </w:t>
      </w:r>
      <w:r>
        <w:t xml:space="preserve">(catégorie “baby athlé”), point d’orgue d’une aventure racontée et vécue au long d’étapes de préparation. Il se déroule sur 6 situations, attribuant à l’enfant qui réussit un statut de “lutin” (4 ans), “explorateur” (5 ans) et “super-héros” (6 ans).   </w:t>
      </w:r>
    </w:p>
    <w:p w14:paraId="1491EAFD" w14:textId="77777777" w:rsidR="00AA1212" w:rsidRDefault="00921DB1">
      <w:pPr>
        <w:pStyle w:val="Paragraphedeliste"/>
        <w:numPr>
          <w:ilvl w:val="0"/>
          <w:numId w:val="1"/>
        </w:numPr>
        <w:pBdr>
          <w:bottom w:val="single" w:sz="6" w:space="1" w:color="000000"/>
        </w:pBdr>
      </w:pPr>
      <w:r>
        <w:t xml:space="preserve">Le </w:t>
      </w:r>
      <w:proofErr w:type="spellStart"/>
      <w:r>
        <w:t>Pass’Eveil</w:t>
      </w:r>
      <w:proofErr w:type="spellEnd"/>
      <w:r>
        <w:t xml:space="preserve"> destiné aux enfants de 7 à 9 ans (catégorie “éveil athlétique”), s’organise autour de 6 ateliers dont la réussite est valorisée par l’attribution d’un témoin (vert, rouge et bronze).</w:t>
      </w:r>
    </w:p>
    <w:p w14:paraId="3CF0B378" w14:textId="77777777" w:rsidR="00AA1212" w:rsidRDefault="00921DB1">
      <w:pPr>
        <w:pStyle w:val="Paragraphedeliste"/>
        <w:numPr>
          <w:ilvl w:val="0"/>
          <w:numId w:val="1"/>
        </w:numPr>
        <w:pBdr>
          <w:bottom w:val="single" w:sz="6" w:space="1" w:color="000000"/>
        </w:pBdr>
      </w:pPr>
      <w:r>
        <w:lastRenderedPageBreak/>
        <w:t xml:space="preserve">Le </w:t>
      </w:r>
      <w:proofErr w:type="spellStart"/>
      <w:r>
        <w:t>Pass’Pouss</w:t>
      </w:r>
      <w:proofErr w:type="spellEnd"/>
      <w:r>
        <w:t xml:space="preserve"> destiné aux enfants de 10 et 11 ans (catégorie “</w:t>
      </w:r>
      <w:r>
        <w:t>poussin”), s’organise également autour de 6 ateliers dont la réussite est valorisée par l’attribution d’un témoin (argent et or).</w:t>
      </w:r>
    </w:p>
    <w:p w14:paraId="7921C7F9" w14:textId="77777777" w:rsidR="00AA1212" w:rsidRDefault="00921DB1">
      <w:pPr>
        <w:pStyle w:val="Paragraphedeliste"/>
        <w:numPr>
          <w:ilvl w:val="0"/>
          <w:numId w:val="1"/>
        </w:numPr>
        <w:pBdr>
          <w:bottom w:val="single" w:sz="6" w:space="1" w:color="000000"/>
        </w:pBdr>
      </w:pPr>
      <w:r>
        <w:t xml:space="preserve">Le </w:t>
      </w:r>
      <w:proofErr w:type="spellStart"/>
      <w:r>
        <w:t>Pass’Athlète</w:t>
      </w:r>
      <w:proofErr w:type="spellEnd"/>
      <w:r>
        <w:t xml:space="preserve"> destiné aux enfants de 12 à 15 ans (catégorie « benjamin » « minime »), s’organise autour de 8 domaines de com</w:t>
      </w:r>
      <w:r>
        <w:t xml:space="preserve">pétences dont la réussite est valorisée par l’attribution de « lacets et pointes de couleurs » (argent et or)   </w:t>
      </w:r>
    </w:p>
    <w:p w14:paraId="4455371D" w14:textId="28A8C882" w:rsidR="00741470" w:rsidRDefault="00921DB1" w:rsidP="00741470">
      <w:pPr>
        <w:pStyle w:val="Paragraphedeliste"/>
        <w:numPr>
          <w:ilvl w:val="0"/>
          <w:numId w:val="1"/>
        </w:numPr>
        <w:pBdr>
          <w:bottom w:val="single" w:sz="6" w:space="1" w:color="000000"/>
        </w:pBdr>
      </w:pPr>
      <w:r>
        <w:t>Le Visa Perf est uniquement destiné aux jeunes de 15 ans (« minimes 2ème année» à fort potentiel) accompagnés, avec leur entraîneur, dans le di</w:t>
      </w:r>
      <w:r>
        <w:t>spositif de suivi G2024. Au cours de ce suivi, l’Equipe Technique Régionale (ou Départementale) évaluera si la formation athlétique de ces athlètes est propice  à l’avènement de leur potentiel sur le long terme. Le visa à la performance est alors délivré s</w:t>
      </w:r>
      <w:r>
        <w:t>ous forme de diplôme.</w:t>
      </w:r>
    </w:p>
    <w:p w14:paraId="17F8F120" w14:textId="77777777" w:rsidR="00741470" w:rsidRDefault="00741470" w:rsidP="00741470">
      <w:pPr>
        <w:pBdr>
          <w:bottom w:val="single" w:sz="6" w:space="1" w:color="000000"/>
        </w:pBdr>
        <w:ind w:left="45"/>
      </w:pPr>
      <w:bookmarkStart w:id="0" w:name="_GoBack"/>
      <w:bookmarkEnd w:id="0"/>
    </w:p>
    <w:p w14:paraId="2ECAAC7A" w14:textId="77777777" w:rsidR="00AA1212" w:rsidRDefault="00AA1212"/>
    <w:p w14:paraId="30478283" w14:textId="77777777" w:rsidR="00AA1212" w:rsidRDefault="00921DB1">
      <w:pPr>
        <w:rPr>
          <w:b/>
        </w:rPr>
      </w:pPr>
      <w:r>
        <w:rPr>
          <w:b/>
        </w:rPr>
        <w:t xml:space="preserve">INTÉRÊT </w:t>
      </w:r>
    </w:p>
    <w:p w14:paraId="4266AC4A" w14:textId="77777777" w:rsidR="00AA1212" w:rsidRDefault="00921DB1">
      <w:r>
        <w:t xml:space="preserve">LE PASS’ATHLÉ ET LE JEUNE   </w:t>
      </w:r>
    </w:p>
    <w:p w14:paraId="77EC5E68" w14:textId="77777777" w:rsidR="00AA1212" w:rsidRDefault="00921DB1">
      <w:r>
        <w:t xml:space="preserve">*Assurer la reconnaissance de niveaux d’habiletés athlétiques valides sur l’ensemble du territoire. </w:t>
      </w:r>
    </w:p>
    <w:p w14:paraId="41EEBF95" w14:textId="77777777" w:rsidR="00AA1212" w:rsidRDefault="00921DB1">
      <w:r>
        <w:t xml:space="preserve">*Ajouter au facteur “performance” un facteur “maîtrise d’habiletés”.  </w:t>
      </w:r>
    </w:p>
    <w:p w14:paraId="7F387E15" w14:textId="77777777" w:rsidR="00AA1212" w:rsidRDefault="00921DB1">
      <w:r>
        <w:t>*Découvrir la confron</w:t>
      </w:r>
      <w:r>
        <w:t xml:space="preserve">tation à soi-même.  </w:t>
      </w:r>
    </w:p>
    <w:p w14:paraId="3549EC5B" w14:textId="77777777" w:rsidR="00AA1212" w:rsidRDefault="00921DB1">
      <w:r>
        <w:t xml:space="preserve">*Mesurer ses progrès.  </w:t>
      </w:r>
    </w:p>
    <w:p w14:paraId="6FFD3B4B" w14:textId="77777777" w:rsidR="00AA1212" w:rsidRDefault="00921DB1">
      <w:r>
        <w:t xml:space="preserve">*Apprendre à se fixer des objectifs.  </w:t>
      </w:r>
    </w:p>
    <w:p w14:paraId="60D89D16" w14:textId="77777777" w:rsidR="00AA1212" w:rsidRDefault="00921DB1">
      <w:r>
        <w:t xml:space="preserve">*Découvrir l’athlétisme à travers l’ensemble de ses valeurs : </w:t>
      </w:r>
    </w:p>
    <w:p w14:paraId="710F441C" w14:textId="77777777" w:rsidR="00AA1212" w:rsidRDefault="00921DB1">
      <w:r>
        <w:t xml:space="preserve">- Pratiquer. </w:t>
      </w:r>
    </w:p>
    <w:p w14:paraId="71B4CE52" w14:textId="77777777" w:rsidR="00AA1212" w:rsidRDefault="00921DB1">
      <w:r>
        <w:t xml:space="preserve">- Aider, encourager. </w:t>
      </w:r>
    </w:p>
    <w:p w14:paraId="405C0C36" w14:textId="77777777" w:rsidR="00AA1212" w:rsidRDefault="00921DB1">
      <w:r>
        <w:t xml:space="preserve">- Auto/Co Évaluer. </w:t>
      </w:r>
    </w:p>
    <w:p w14:paraId="264D472A" w14:textId="77777777" w:rsidR="00AA1212" w:rsidRDefault="00921DB1">
      <w:r>
        <w:t xml:space="preserve">- Comprendre.  </w:t>
      </w:r>
    </w:p>
    <w:p w14:paraId="7DAFDE09" w14:textId="77777777" w:rsidR="00AA1212" w:rsidRDefault="00921DB1">
      <w:r>
        <w:t xml:space="preserve">*Pour les tout-petits (4/6 ans), </w:t>
      </w:r>
      <w:r>
        <w:t xml:space="preserve">constituer le point final d’une aventure, au cours de laquelle l’enfant acquiert un statut dont il a rêvé.   </w:t>
      </w:r>
    </w:p>
    <w:p w14:paraId="5EE5FFEB" w14:textId="77777777" w:rsidR="00AA1212" w:rsidRDefault="00921DB1">
      <w:r>
        <w:t>*Pour les 7/11 ans, valider le passage d’une motricité habituelle vers une motricité athlétique qui atteste de l’acquisition des éléments indispen</w:t>
      </w:r>
      <w:r>
        <w:t xml:space="preserve">sables pour acquérir les techniques athlétiques   </w:t>
      </w:r>
    </w:p>
    <w:p w14:paraId="3897D5EE" w14:textId="77777777" w:rsidR="00AA1212" w:rsidRDefault="00921DB1">
      <w:r>
        <w:t>*Pour les plus grands (12/15ans), acquérir les savoirs, savoir-faire et savoir-être fondamentaux pour devenir un athlète qui sait s’entraîner, apprend des gestes techniques justes et qui s’oriente progress</w:t>
      </w:r>
      <w:r>
        <w:t xml:space="preserve">ivement vers une famille de disciplines athlétiques à la fin de son parcours de formation. </w:t>
      </w:r>
    </w:p>
    <w:p w14:paraId="33F6D318" w14:textId="77777777" w:rsidR="00AA1212" w:rsidRDefault="00921DB1">
      <w:r>
        <w:t>++++++++++++++++++++++++++++++++++++++++++++++++++++++++++++++++++++++++++++++++++</w:t>
      </w:r>
    </w:p>
    <w:p w14:paraId="1F0D0C13" w14:textId="77777777" w:rsidR="00AA1212" w:rsidRDefault="00AA1212"/>
    <w:p w14:paraId="5294EBE6" w14:textId="77777777" w:rsidR="00AA1212" w:rsidRDefault="00921DB1">
      <w:r>
        <w:rPr>
          <w:noProof/>
          <w:lang w:eastAsia="fr-FR"/>
        </w:rPr>
        <w:drawing>
          <wp:inline distT="0" distB="0" distL="0" distR="0" wp14:anchorId="1981D6CC" wp14:editId="251A05D6">
            <wp:extent cx="4848221" cy="3248021"/>
            <wp:effectExtent l="0" t="0" r="0" b="0"/>
            <wp:docPr id="1"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48221" cy="3248021"/>
                    </a:xfrm>
                    <a:prstGeom prst="rect">
                      <a:avLst/>
                    </a:prstGeom>
                    <a:noFill/>
                    <a:ln>
                      <a:noFill/>
                      <a:prstDash/>
                    </a:ln>
                  </pic:spPr>
                </pic:pic>
              </a:graphicData>
            </a:graphic>
          </wp:inline>
        </w:drawing>
      </w:r>
    </w:p>
    <w:p w14:paraId="362ABCD5" w14:textId="77777777" w:rsidR="00AA1212" w:rsidRDefault="00921DB1">
      <w:r>
        <w:t>Année 2012 : Témoin rouge</w:t>
      </w:r>
    </w:p>
    <w:p w14:paraId="209B0EE6" w14:textId="77777777" w:rsidR="00AA1212" w:rsidRDefault="00921DB1">
      <w:r>
        <w:t>Année 2011 : Témoin bronze</w:t>
      </w:r>
    </w:p>
    <w:p w14:paraId="77974706" w14:textId="77777777" w:rsidR="00AA1212" w:rsidRDefault="00921DB1">
      <w:r>
        <w:rPr>
          <w:noProof/>
          <w:lang w:eastAsia="fr-FR"/>
        </w:rPr>
        <w:drawing>
          <wp:inline distT="0" distB="0" distL="0" distR="0" wp14:anchorId="725E9F48" wp14:editId="3311845E">
            <wp:extent cx="4171949" cy="1123953"/>
            <wp:effectExtent l="0" t="0" r="1" b="0"/>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71949" cy="1123953"/>
                    </a:xfrm>
                    <a:prstGeom prst="rect">
                      <a:avLst/>
                    </a:prstGeom>
                    <a:noFill/>
                    <a:ln>
                      <a:noFill/>
                      <a:prstDash/>
                    </a:ln>
                  </pic:spPr>
                </pic:pic>
              </a:graphicData>
            </a:graphic>
          </wp:inline>
        </w:drawing>
      </w:r>
    </w:p>
    <w:p w14:paraId="018C973C" w14:textId="77777777" w:rsidR="00AA1212" w:rsidRDefault="00921DB1">
      <w:r>
        <w:rPr>
          <w:noProof/>
          <w:lang w:eastAsia="fr-FR"/>
        </w:rPr>
        <w:drawing>
          <wp:inline distT="0" distB="0" distL="0" distR="0" wp14:anchorId="420FE3B0" wp14:editId="769EB319">
            <wp:extent cx="5760720" cy="2355851"/>
            <wp:effectExtent l="0" t="0" r="0" b="6349"/>
            <wp:docPr id="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355851"/>
                    </a:xfrm>
                    <a:prstGeom prst="rect">
                      <a:avLst/>
                    </a:prstGeom>
                    <a:noFill/>
                    <a:ln>
                      <a:noFill/>
                      <a:prstDash/>
                    </a:ln>
                  </pic:spPr>
                </pic:pic>
              </a:graphicData>
            </a:graphic>
          </wp:inline>
        </w:drawing>
      </w:r>
    </w:p>
    <w:p w14:paraId="09929B90" w14:textId="77777777" w:rsidR="00AA1212" w:rsidRDefault="00921DB1">
      <w:r>
        <w:rPr>
          <w:noProof/>
          <w:lang w:eastAsia="fr-FR"/>
        </w:rPr>
        <w:drawing>
          <wp:inline distT="0" distB="0" distL="0" distR="0" wp14:anchorId="4149AFF5" wp14:editId="42F016CE">
            <wp:extent cx="5760720" cy="4980307"/>
            <wp:effectExtent l="0" t="0" r="0" b="0"/>
            <wp:docPr id="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980307"/>
                    </a:xfrm>
                    <a:prstGeom prst="rect">
                      <a:avLst/>
                    </a:prstGeom>
                    <a:noFill/>
                    <a:ln>
                      <a:noFill/>
                      <a:prstDash/>
                    </a:ln>
                  </pic:spPr>
                </pic:pic>
              </a:graphicData>
            </a:graphic>
          </wp:inline>
        </w:drawing>
      </w:r>
    </w:p>
    <w:p w14:paraId="586690B8" w14:textId="77777777" w:rsidR="00AA1212" w:rsidRDefault="00921DB1">
      <w:r>
        <w:t>Année 2010 : Témoin</w:t>
      </w:r>
      <w:r>
        <w:t xml:space="preserve"> d’argent</w:t>
      </w:r>
    </w:p>
    <w:p w14:paraId="71CACB07" w14:textId="77777777" w:rsidR="00AA1212" w:rsidRDefault="00921DB1">
      <w:r>
        <w:t>Année 2009 : Témoin d’or</w:t>
      </w:r>
    </w:p>
    <w:p w14:paraId="0BDBCE85" w14:textId="77777777" w:rsidR="00AA1212" w:rsidRDefault="00921DB1">
      <w:r>
        <w:rPr>
          <w:noProof/>
          <w:lang w:eastAsia="fr-FR"/>
        </w:rPr>
        <w:drawing>
          <wp:inline distT="0" distB="0" distL="0" distR="0" wp14:anchorId="0FA7BDA6" wp14:editId="3123307E">
            <wp:extent cx="5676896" cy="5010153"/>
            <wp:effectExtent l="0" t="0" r="4" b="0"/>
            <wp:docPr id="5"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76896" cy="5010153"/>
                    </a:xfrm>
                    <a:prstGeom prst="rect">
                      <a:avLst/>
                    </a:prstGeom>
                    <a:noFill/>
                    <a:ln>
                      <a:noFill/>
                      <a:prstDash/>
                    </a:ln>
                  </pic:spPr>
                </pic:pic>
              </a:graphicData>
            </a:graphic>
          </wp:inline>
        </w:drawing>
      </w:r>
    </w:p>
    <w:p w14:paraId="0A8E8B47" w14:textId="77777777" w:rsidR="00AA1212" w:rsidRDefault="00921DB1">
      <w:r>
        <w:rPr>
          <w:noProof/>
          <w:lang w:eastAsia="fr-FR"/>
        </w:rPr>
        <w:drawing>
          <wp:inline distT="0" distB="0" distL="0" distR="0" wp14:anchorId="2E082B8A" wp14:editId="0A7B17D7">
            <wp:extent cx="5760720" cy="4761225"/>
            <wp:effectExtent l="0" t="0" r="0" b="1275"/>
            <wp:docPr id="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4761225"/>
                    </a:xfrm>
                    <a:prstGeom prst="rect">
                      <a:avLst/>
                    </a:prstGeom>
                    <a:noFill/>
                    <a:ln>
                      <a:noFill/>
                      <a:prstDash/>
                    </a:ln>
                  </pic:spPr>
                </pic:pic>
              </a:graphicData>
            </a:graphic>
          </wp:inline>
        </w:drawing>
      </w:r>
    </w:p>
    <w:sectPr w:rsidR="00AA12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4419" w14:textId="77777777" w:rsidR="00921DB1" w:rsidRDefault="00921DB1">
      <w:pPr>
        <w:spacing w:after="0" w:line="240" w:lineRule="auto"/>
      </w:pPr>
      <w:r>
        <w:separator/>
      </w:r>
    </w:p>
  </w:endnote>
  <w:endnote w:type="continuationSeparator" w:id="0">
    <w:p w14:paraId="3A9B3819" w14:textId="77777777" w:rsidR="00921DB1" w:rsidRDefault="0092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99D3" w14:textId="77777777" w:rsidR="00921DB1" w:rsidRDefault="00921DB1">
      <w:pPr>
        <w:spacing w:after="0" w:line="240" w:lineRule="auto"/>
      </w:pPr>
      <w:r>
        <w:rPr>
          <w:color w:val="000000"/>
        </w:rPr>
        <w:separator/>
      </w:r>
    </w:p>
  </w:footnote>
  <w:footnote w:type="continuationSeparator" w:id="0">
    <w:p w14:paraId="1EAB1DA6" w14:textId="77777777" w:rsidR="00921DB1" w:rsidRDefault="00921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A1673"/>
    <w:multiLevelType w:val="multilevel"/>
    <w:tmpl w:val="0268B346"/>
    <w:lvl w:ilvl="0">
      <w:numFmt w:val="bullet"/>
      <w:lvlText w:val=""/>
      <w:lvlJc w:val="left"/>
      <w:pPr>
        <w:ind w:left="405" w:hanging="360"/>
      </w:pPr>
      <w:rPr>
        <w:rFonts w:ascii="Symbol" w:eastAsia="Calibri" w:hAnsi="Symbol" w:cs="Times New Roman"/>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A1212"/>
    <w:rsid w:val="00737D23"/>
    <w:rsid w:val="00741470"/>
    <w:rsid w:val="00921DB1"/>
    <w:rsid w:val="00AA1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5659"/>
  <w15:docId w15:val="{4D253085-C549-4B74-BF40-ADA2980B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668</Words>
  <Characters>3675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Reinhard</dc:creator>
  <dc:description/>
  <cp:lastModifiedBy>christophe reinhard</cp:lastModifiedBy>
  <cp:revision>3</cp:revision>
  <dcterms:created xsi:type="dcterms:W3CDTF">2020-01-28T20:52:00Z</dcterms:created>
  <dcterms:modified xsi:type="dcterms:W3CDTF">2020-01-28T20:53:00Z</dcterms:modified>
</cp:coreProperties>
</file>